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62" w:rsidRDefault="0075244D" w:rsidP="00B37F31">
      <w:pPr>
        <w:widowControl/>
      </w:pPr>
      <w:r>
        <w:rPr>
          <w:noProof/>
        </w:rPr>
        <w:drawing>
          <wp:inline distT="0" distB="0" distL="0" distR="0">
            <wp:extent cx="2333951" cy="619211"/>
            <wp:effectExtent l="0" t="0" r="9525" b="9525"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4A4B85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951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F31" w:rsidRDefault="00B37F31" w:rsidP="00145562">
      <w:pPr>
        <w:ind w:firstLineChars="200" w:firstLine="480"/>
      </w:pPr>
    </w:p>
    <w:p w:rsidR="0075244D" w:rsidRPr="0075244D" w:rsidRDefault="0075244D" w:rsidP="0075244D">
      <w:pPr>
        <w:widowControl/>
        <w:rPr>
          <w:rFonts w:ascii="Microsoft YaHei" w:eastAsia="Microsoft YaHei" w:hAnsi="Microsoft YaHei" w:cs="新細明體"/>
          <w:color w:val="E61717"/>
          <w:kern w:val="0"/>
          <w:sz w:val="48"/>
          <w:szCs w:val="48"/>
        </w:rPr>
      </w:pPr>
      <w:r w:rsidRPr="0075244D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推動運動健康新未來 輔英科大攜手產業策略聯盟</w:t>
      </w:r>
    </w:p>
    <w:p w:rsidR="0075244D" w:rsidRPr="0075244D" w:rsidRDefault="0075244D" w:rsidP="0075244D">
      <w:pPr>
        <w:widowControl/>
        <w:rPr>
          <w:rFonts w:ascii="Helvetica" w:eastAsia="新細明體" w:hAnsi="Helvetica" w:cs="新細明體" w:hint="eastAsia"/>
          <w:color w:val="333333"/>
          <w:kern w:val="0"/>
          <w:szCs w:val="24"/>
        </w:rPr>
      </w:pPr>
      <w:r w:rsidRPr="0075244D">
        <w:rPr>
          <w:rFonts w:ascii="Helvetica" w:eastAsia="新細明體" w:hAnsi="Helvetica" w:cs="新細明體"/>
          <w:color w:val="333333"/>
          <w:kern w:val="0"/>
          <w:szCs w:val="24"/>
        </w:rPr>
        <w:t>【記者何弘斌／高雄報導】</w:t>
      </w:r>
      <w:r w:rsidRPr="0075244D">
        <w:rPr>
          <w:rFonts w:ascii="Helvetica" w:eastAsia="新細明體" w:hAnsi="Helvetica" w:cs="新細明體"/>
          <w:color w:val="333333"/>
          <w:kern w:val="0"/>
          <w:szCs w:val="24"/>
        </w:rPr>
        <w:t xml:space="preserve"> 2025/05/14</w:t>
      </w:r>
    </w:p>
    <w:p w:rsidR="0075244D" w:rsidRPr="0075244D" w:rsidRDefault="0075244D" w:rsidP="0075244D">
      <w:pPr>
        <w:widowControl/>
        <w:spacing w:after="450"/>
        <w:rPr>
          <w:rFonts w:ascii="新細明體" w:eastAsia="新細明體" w:hAnsi="新細明體" w:cs="新細明體"/>
          <w:kern w:val="0"/>
          <w:szCs w:val="24"/>
        </w:rPr>
      </w:pPr>
      <w:r w:rsidRPr="0075244D">
        <w:rPr>
          <w:rFonts w:ascii="新細明體" w:eastAsia="新細明體" w:hAnsi="新細明體" w:cs="新細明體"/>
          <w:kern w:val="0"/>
          <w:szCs w:val="24"/>
        </w:rPr>
        <w:pict>
          <v:rect id="_x0000_i1039" style="width:585pt;height:.75pt" o:hrpct="0" o:hralign="center" o:hrstd="t" o:hr="t" fillcolor="#a0a0a0" stroked="f"/>
        </w:pict>
      </w:r>
    </w:p>
    <w:p w:rsidR="0075244D" w:rsidRPr="0075244D" w:rsidRDefault="0075244D" w:rsidP="0075244D">
      <w:pPr>
        <w:widowControl/>
        <w:rPr>
          <w:rFonts w:ascii="Helvetica" w:eastAsia="新細明體" w:hAnsi="Helvetica" w:cs="新細明體"/>
          <w:color w:val="666666"/>
          <w:kern w:val="0"/>
          <w:szCs w:val="24"/>
        </w:rPr>
      </w:pPr>
      <w:r w:rsidRPr="0075244D">
        <w:rPr>
          <w:rFonts w:ascii="Helvetica" w:eastAsia="新細明體" w:hAnsi="Helvetica" w:cs="新細明體"/>
          <w:noProof/>
          <w:color w:val="666666"/>
          <w:kern w:val="0"/>
          <w:szCs w:val="24"/>
        </w:rPr>
        <mc:AlternateContent>
          <mc:Choice Requires="wps">
            <w:drawing>
              <wp:inline distT="0" distB="0" distL="0" distR="0" wp14:anchorId="7FA7FA7D" wp14:editId="2CB717E2">
                <wp:extent cx="304800" cy="304800"/>
                <wp:effectExtent l="0" t="0" r="0" b="0"/>
                <wp:docPr id="2" name="AutoShape 4" descr="https://www.tssdnews.com.tw/userfiles/upload/2025051316374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C099C1" id="AutoShape 4" o:spid="_x0000_s1026" alt="https://www.tssdnews.com.tw/userfiles/upload/20250513163744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wV0FN+MCAAD/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75244D" w:rsidRPr="0075244D" w:rsidRDefault="0075244D" w:rsidP="0075244D">
      <w:pPr>
        <w:widowControl/>
        <w:spacing w:after="450"/>
        <w:jc w:val="both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英科大是南部培育護理人才的搖籃，近年來在體壇上亦是發光發熱，戰績彪炳，林惠賢校長代表學校與艾沙科國際運動顧問公司、舜莉整合行銷公司簽訂策略聯盟，三方未來將合作運動行銷、承辦大型體育活動，辦理運動健康講座，也積極引進球賽啦啦隊等，推動大健康產業蓬勃發展。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見圖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輔英科大今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十三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日說明，「運動健康產業策略聯盟簽約儀式」十二日於輔英科大舉行，由林惠賢校長、艾沙科國際運動顧問公司王冠斌總監、舜莉整合行銷公司蘇莉總監共同簽署合作意向書。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林惠賢校長表示，校方長期致力於培育具備跨領域整合能力的健康專業人才，近期才剛閉幕的全大運，該校選手在跆拳道、田徑、射箭、羽球、拳擊等項目皆有亮眼表現；健康運動之推廣在網路世代充分運用智慧科技創新行銷，更能擴大健康社會之效益，這次簽約就是借重兩家公司對於辦理大型活動、整合行銷的專業，強化推廣體育賽事，提升輔英科大在國際知名度，並為台灣在運動健康領域的發展注入更多動能。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王冠斌總監指出，自己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lastRenderedPageBreak/>
        <w:t>王冠斌提到，艾沙科在海外設有據點，期待藉由與輔英科大的合作，讓運動科學落實於教學與實務，協助運動員接軌國際，拓展運動健康職涯。</w:t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75244D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創辦人蘇莉總監強調，舜莉整合行銷公司顧名思義，主要擅長品牌行銷與活動整合，期盼三方合作推動更多與健康生活相關的計畫，並創新行銷模式，打造更具社會影響力的健康品牌形象。</w:t>
      </w:r>
    </w:p>
    <w:p w:rsidR="005663D1" w:rsidRPr="0075244D" w:rsidRDefault="005663D1" w:rsidP="00B37F31">
      <w:pPr>
        <w:ind w:firstLineChars="200" w:firstLine="480"/>
      </w:pPr>
      <w:bookmarkStart w:id="0" w:name="_GoBack"/>
      <w:bookmarkEnd w:id="0"/>
    </w:p>
    <w:sectPr w:rsidR="005663D1" w:rsidRPr="007524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400" w:rsidRDefault="004B0400" w:rsidP="005663D1">
      <w:r>
        <w:separator/>
      </w:r>
    </w:p>
  </w:endnote>
  <w:endnote w:type="continuationSeparator" w:id="0">
    <w:p w:rsidR="004B0400" w:rsidRDefault="004B0400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400" w:rsidRDefault="004B0400" w:rsidP="005663D1">
      <w:r>
        <w:separator/>
      </w:r>
    </w:p>
  </w:footnote>
  <w:footnote w:type="continuationSeparator" w:id="0">
    <w:p w:rsidR="004B0400" w:rsidRDefault="004B0400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0B22DE"/>
    <w:rsid w:val="00145562"/>
    <w:rsid w:val="001D5680"/>
    <w:rsid w:val="00432856"/>
    <w:rsid w:val="00462BF2"/>
    <w:rsid w:val="004B0400"/>
    <w:rsid w:val="0050031C"/>
    <w:rsid w:val="005239AB"/>
    <w:rsid w:val="005241F0"/>
    <w:rsid w:val="005663D1"/>
    <w:rsid w:val="00636EAD"/>
    <w:rsid w:val="0068628C"/>
    <w:rsid w:val="0075244D"/>
    <w:rsid w:val="007E1DA8"/>
    <w:rsid w:val="009C6FCD"/>
    <w:rsid w:val="009E70DB"/>
    <w:rsid w:val="00A052FD"/>
    <w:rsid w:val="00B37F31"/>
    <w:rsid w:val="00C42170"/>
    <w:rsid w:val="00D0463F"/>
    <w:rsid w:val="00D5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2025-10-29T06:17:00Z</dcterms:created>
  <dcterms:modified xsi:type="dcterms:W3CDTF">2025-10-29T06:18:00Z</dcterms:modified>
</cp:coreProperties>
</file>